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566"/>
        <w:gridCol w:w="1405"/>
        <w:gridCol w:w="1267"/>
        <w:gridCol w:w="1732"/>
      </w:tblGrid>
      <w:tr w:rsidR="00DE3093" w:rsidTr="00DE3093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093" w:rsidRDefault="00DE3093" w:rsidP="005A52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Показатели результативности Плана мероприятий, рассчитанные по методике, утвержденной на заседании Рабочей группы (протокол от 26.11.2014 № АП-32/02пр, протокол от 30.05.2016 № АП-25/02пр)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 31.12.2016</w:t>
            </w:r>
          </w:p>
          <w:p w:rsidR="00DE3093" w:rsidRDefault="00DE3093" w:rsidP="001E72E6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Таблица 1</w:t>
            </w:r>
            <w:bookmarkStart w:id="0" w:name="_GoBack"/>
            <w:bookmarkEnd w:id="0"/>
          </w:p>
        </w:tc>
      </w:tr>
      <w:tr w:rsidR="00DE3093" w:rsidTr="00DE3093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DE3093" w:rsidRDefault="00DE3093" w:rsidP="005A5248">
            <w:pPr>
              <w:spacing w:after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093" w:rsidRDefault="00DE3093" w:rsidP="005A5248">
            <w:pPr>
              <w:spacing w:after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093" w:rsidRDefault="00DE3093" w:rsidP="005A5248">
            <w:pPr>
              <w:spacing w:after="0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093" w:rsidRDefault="00DE3093" w:rsidP="005A5248">
            <w:pPr>
              <w:spacing w:after="0"/>
              <w:jc w:val="center"/>
            </w:pPr>
            <w:r>
              <w:rPr>
                <w:b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093" w:rsidRDefault="00DE3093" w:rsidP="005A5248">
            <w:pPr>
              <w:spacing w:after="0"/>
              <w:jc w:val="center"/>
            </w:pPr>
            <w:r>
              <w:rPr>
                <w:b/>
              </w:rPr>
              <w:t>Фактическое значение на 31.12.2016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общем рейтинге THE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501.0 - 600.0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общем рейтинге QS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401.0 - 450.0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377.0 - 0.0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1.3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&amp; </w:t>
            </w:r>
            <w:proofErr w:type="spellStart"/>
            <w:r>
              <w:t>Literature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1.4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Medicine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1.5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Psychology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1.6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Physics</w:t>
            </w:r>
            <w:proofErr w:type="spellEnd"/>
            <w:r>
              <w:t xml:space="preserve"> &amp; </w:t>
            </w:r>
            <w:proofErr w:type="spellStart"/>
            <w:r>
              <w:t>Astronomy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251.0 - 300.0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251.0 - 300.0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1.7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Mathematics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1.8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1.9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Earth</w:t>
            </w:r>
            <w:proofErr w:type="spellEnd"/>
            <w:r>
              <w:t xml:space="preserve"> &amp; </w:t>
            </w:r>
            <w:proofErr w:type="spellStart"/>
            <w:r>
              <w:t>Marine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Chemistry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1.11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Communication</w:t>
            </w:r>
            <w:proofErr w:type="spellEnd"/>
            <w:r>
              <w:t xml:space="preserve"> &amp;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1.13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Education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1.14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History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1.15</w:t>
            </w:r>
          </w:p>
        </w:tc>
        <w:tc>
          <w:tcPr>
            <w:tcW w:w="0" w:type="auto"/>
          </w:tcPr>
          <w:p w:rsidR="00DE3093" w:rsidRPr="006700CD" w:rsidRDefault="00DE30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r>
              <w:t>рейтинге</w:t>
            </w:r>
            <w:r w:rsidRPr="006700CD">
              <w:rPr>
                <w:lang w:val="en-US"/>
              </w:rPr>
              <w:t xml:space="preserve"> QS (Politics &amp; International Studies)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1.16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Sociology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1.17</w:t>
            </w:r>
          </w:p>
        </w:tc>
        <w:tc>
          <w:tcPr>
            <w:tcW w:w="0" w:type="auto"/>
          </w:tcPr>
          <w:p w:rsidR="00DE3093" w:rsidRPr="006700CD" w:rsidRDefault="00DE30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r>
              <w:t>рейтинге</w:t>
            </w:r>
            <w:r w:rsidRPr="006700CD">
              <w:rPr>
                <w:lang w:val="en-US"/>
              </w:rPr>
              <w:t xml:space="preserve"> QS (Statistics &amp; Operational Research)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1.18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Philosophy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1.19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251.0 - 300.0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251.0 - 300.0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Art</w:t>
            </w:r>
            <w:proofErr w:type="spellEnd"/>
            <w:r>
              <w:t xml:space="preserve"> &amp; </w:t>
            </w:r>
            <w:proofErr w:type="spellStart"/>
            <w:r>
              <w:t>Design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1.21</w:t>
            </w:r>
          </w:p>
        </w:tc>
        <w:tc>
          <w:tcPr>
            <w:tcW w:w="0" w:type="auto"/>
          </w:tcPr>
          <w:p w:rsidR="00DE3093" w:rsidRPr="006700CD" w:rsidRDefault="00DE30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r>
              <w:t>рейтинге</w:t>
            </w:r>
            <w:r w:rsidRPr="006700CD">
              <w:rPr>
                <w:lang w:val="en-US"/>
              </w:rPr>
              <w:t xml:space="preserve"> QS (Social </w:t>
            </w:r>
            <w:r w:rsidRPr="006700CD">
              <w:rPr>
                <w:lang w:val="en-US"/>
              </w:rPr>
              <w:lastRenderedPageBreak/>
              <w:t>Policy &amp; Administration)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lastRenderedPageBreak/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lastRenderedPageBreak/>
              <w:t>1.22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Performing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1.23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Geography</w:t>
            </w:r>
            <w:proofErr w:type="spellEnd"/>
            <w:r>
              <w:t xml:space="preserve"> &amp;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1.24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1.25</w:t>
            </w:r>
          </w:p>
        </w:tc>
        <w:tc>
          <w:tcPr>
            <w:tcW w:w="0" w:type="auto"/>
          </w:tcPr>
          <w:p w:rsidR="00DE3093" w:rsidRPr="006700CD" w:rsidRDefault="00DE30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r>
              <w:t>рейтинге</w:t>
            </w:r>
            <w:r w:rsidRPr="006700CD">
              <w:rPr>
                <w:lang w:val="en-US"/>
              </w:rPr>
              <w:t xml:space="preserve"> QS (Computer Science &amp; Information Systems)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1.26</w:t>
            </w:r>
          </w:p>
        </w:tc>
        <w:tc>
          <w:tcPr>
            <w:tcW w:w="0" w:type="auto"/>
          </w:tcPr>
          <w:p w:rsidR="00DE3093" w:rsidRPr="006700CD" w:rsidRDefault="00DE30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r>
              <w:t>рейтинге</w:t>
            </w:r>
            <w:r w:rsidRPr="006700CD">
              <w:rPr>
                <w:lang w:val="en-US"/>
              </w:rPr>
              <w:t xml:space="preserve"> QS (Electrical &amp; Electronic Engineering)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1.27</w:t>
            </w:r>
          </w:p>
        </w:tc>
        <w:tc>
          <w:tcPr>
            <w:tcW w:w="0" w:type="auto"/>
          </w:tcPr>
          <w:p w:rsidR="00DE3093" w:rsidRPr="006700CD" w:rsidRDefault="00DE3093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r>
              <w:t>рейтинге</w:t>
            </w:r>
            <w:r w:rsidRPr="006700CD">
              <w:rPr>
                <w:lang w:val="en-US"/>
              </w:rPr>
              <w:t xml:space="preserve"> QS (Mechanical, Aeronautical &amp; Manufacturing Engineering)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1.28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Agriculture</w:t>
            </w:r>
            <w:proofErr w:type="spellEnd"/>
            <w:r>
              <w:t xml:space="preserve"> &amp; </w:t>
            </w:r>
            <w:proofErr w:type="spellStart"/>
            <w:r>
              <w:t>Forestry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1.29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Позиция в предметном рейтинге QS (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0.0 - 0.0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Количество статей в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 xml:space="preserve"> с исключением дублирования на 1 НПР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2.1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Количество публикаций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на одного научно-педагогического работника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Кол-во статей/кол-во НПР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3,50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4,43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Количество публикаций в базе данных </w:t>
            </w:r>
            <w:proofErr w:type="spellStart"/>
            <w:r>
              <w:t>Scopus</w:t>
            </w:r>
            <w:proofErr w:type="spellEnd"/>
            <w:r>
              <w:t xml:space="preserve"> на одного научно-педагогического работника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Кол-во статей/кол-во НПР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5,20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Средний показатель цитируемости на 1 НПР, рассчитываемый по совокупности статей, учтенных в базах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>, с исключением их дублирования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3.1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Кол-во статей/кол-во НПР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6,50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11,15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3.2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</w:t>
            </w:r>
            <w:proofErr w:type="spellStart"/>
            <w:r>
              <w:t>Scopus</w:t>
            </w:r>
            <w:proofErr w:type="spellEnd"/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Кол-во статей/кол-во НПР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6,50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11,65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Доля зарубежных профессоров, преподавателей и исследователей в численности научно-педагогических </w:t>
            </w:r>
            <w:r>
              <w:lastRenderedPageBreak/>
              <w:t xml:space="preserve">работников, включая российских граждан-обладателей степени </w:t>
            </w:r>
            <w:proofErr w:type="spellStart"/>
            <w:r>
              <w:t>PhD</w:t>
            </w:r>
            <w:proofErr w:type="spellEnd"/>
            <w:r>
              <w:t xml:space="preserve"> зарубежных университетов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lastRenderedPageBreak/>
              <w:t>Процент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3,50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3,73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Доля иностранных студентов, обучающихся на основных образовательных программах вуза (с учетом студентов из стран СНГ)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13,50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15,01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Средний балл единого государственного экзамена (далее – ЕГЭ) студентов вуза, принятых для </w:t>
            </w:r>
            <w:proofErr w:type="gramStart"/>
            <w:r>
              <w:t>обучения по</w:t>
            </w:r>
            <w:proofErr w:type="gramEnd"/>
            <w:r>
              <w:t xml:space="preserve"> очной форме обучения за счет средств федерального бюджета по программам бакалавриата и специалитета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74,00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74,96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Доля  доходов из внебюджетных источников в структуре доходов вуза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32,00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32,10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Доля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численности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Процент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30,00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30,10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Объем научно-исследовательских и опытно-конструкторских работ в расчете на одного научно-педагогического работника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Тысячи рублей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1543,72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>Дополнительные показатели результативности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Место в рейтинге </w:t>
            </w:r>
            <w:proofErr w:type="spellStart"/>
            <w:r>
              <w:t>Webometrics</w:t>
            </w:r>
            <w:proofErr w:type="spellEnd"/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351.0 - 400.0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958.0 - 0.0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Место в рейтинге </w:t>
            </w:r>
            <w:proofErr w:type="spellStart"/>
            <w:r>
              <w:t>SCIMago</w:t>
            </w:r>
            <w:proofErr w:type="spellEnd"/>
            <w:r>
              <w:t xml:space="preserve"> в России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11.0 - 15.0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14.0 - 0.0</w:t>
            </w:r>
          </w:p>
        </w:tc>
      </w:tr>
      <w:tr w:rsidR="00DE3093" w:rsidTr="005A5248"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вуза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Единиц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center"/>
            </w:pPr>
            <w:r>
              <w:t>52,00</w:t>
            </w:r>
          </w:p>
        </w:tc>
        <w:tc>
          <w:tcPr>
            <w:tcW w:w="0" w:type="auto"/>
          </w:tcPr>
          <w:p w:rsidR="00DE3093" w:rsidRDefault="00DE3093" w:rsidP="005A5248">
            <w:pPr>
              <w:spacing w:after="0"/>
              <w:jc w:val="right"/>
            </w:pPr>
            <w:r>
              <w:t>59.0 - 0.0</w:t>
            </w:r>
          </w:p>
        </w:tc>
      </w:tr>
    </w:tbl>
    <w:p w:rsidR="00ED1C56" w:rsidRDefault="001E72E6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3"/>
    <w:rsid w:val="001E72E6"/>
    <w:rsid w:val="00300350"/>
    <w:rsid w:val="006B4087"/>
    <w:rsid w:val="00B2367C"/>
    <w:rsid w:val="00BE6CA8"/>
    <w:rsid w:val="00C53C59"/>
    <w:rsid w:val="00DE3093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3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3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2018-10-17T11:53:00Z</dcterms:created>
  <dcterms:modified xsi:type="dcterms:W3CDTF">2018-10-18T03:07:00Z</dcterms:modified>
</cp:coreProperties>
</file>